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" w:after="6"/>
        <w:rPr>
          <w:rFonts w:ascii="Century Gothic" w:hAnsi="Century Gothic"/>
          <w:b/>
        </w:rPr>
      </w:pPr>
    </w:p>
    <w:p>
      <w:pPr>
        <w:spacing w:before="6" w:after="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MEDIA RELEASE</w:t>
      </w:r>
    </w:p>
    <w:p>
      <w:pPr>
        <w:spacing w:before="6" w:after="6"/>
        <w:rPr>
          <w:rFonts w:ascii="Century Gothic" w:hAnsi="Century Gothic"/>
        </w:rPr>
      </w:pPr>
      <w:r>
        <w:rPr>
          <w:rFonts w:ascii="Century Gothic" w:hAnsi="Century Gothic"/>
          <w:i/>
        </w:rPr>
        <w:t>For immediate release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August 2015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>
      <w:pPr>
        <w:spacing w:before="6" w:after="6"/>
        <w:jc w:val="center"/>
        <w:rPr>
          <w:rFonts w:ascii="Century Gothic" w:hAnsi="Century Gothic"/>
          <w:b/>
        </w:rPr>
      </w:pPr>
      <w:r>
        <w:rPr>
          <w:rFonts w:ascii="AvantGarde" w:hAnsi="AvantGarde"/>
          <w:b/>
          <w:bCs/>
          <w:color w:val="012169"/>
          <w:sz w:val="24"/>
          <w:szCs w:val="24"/>
        </w:rPr>
        <w:t>New app helps property owners to ensure they’re covered</w:t>
      </w:r>
    </w:p>
    <w:p>
      <w:pPr>
        <w:spacing w:before="6" w:after="6"/>
        <w:jc w:val="both"/>
        <w:rPr>
          <w:rFonts w:ascii="Century Gothic" w:hAnsi="Century Gothic"/>
        </w:rPr>
      </w:pPr>
    </w:p>
    <w:p>
      <w:pPr>
        <w:spacing w:before="6" w:after="6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</w:rPr>
        <w:t>Australia’s leading tax depreciation specialists, BMT, have released a free app that could help thousands of Australians reduce their risk of being under</w:t>
      </w:r>
      <w:r>
        <w:rPr>
          <w:rFonts w:ascii="Century Gothic" w:hAnsi="Century Gothic"/>
          <w:lang w:val="en-US"/>
        </w:rPr>
        <w:t>-insured for the rebuilding of their homes.</w:t>
      </w:r>
      <w:r>
        <w:rPr>
          <w:rFonts w:ascii="Century Gothic" w:hAnsi="Century Gothic"/>
          <w:lang w:val="en-US"/>
        </w:rPr>
        <w:br/>
      </w:r>
    </w:p>
    <w:p>
      <w:pPr>
        <w:spacing w:before="6" w:after="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The BMT </w:t>
      </w:r>
      <w:proofErr w:type="spellStart"/>
      <w:r>
        <w:rPr>
          <w:rFonts w:ascii="Century Gothic" w:hAnsi="Century Gothic"/>
          <w:lang w:val="en-US"/>
        </w:rPr>
        <w:t>RepCost</w:t>
      </w:r>
      <w:proofErr w:type="spellEnd"/>
      <w:r>
        <w:rPr>
          <w:rFonts w:ascii="Century Gothic" w:hAnsi="Century Gothic"/>
          <w:lang w:val="en-US"/>
        </w:rPr>
        <w:t xml:space="preserve"> app is available at the Apple App Store for iPhone or via Google play for Android devices and is a useful tool for combating underinsurance because it can calculate the cost of rebuilding a house.</w:t>
      </w:r>
      <w:r>
        <w:rPr>
          <w:rFonts w:ascii="Century Gothic" w:hAnsi="Century Gothic"/>
          <w:lang w:val="en-US"/>
        </w:rPr>
        <w:br/>
      </w:r>
    </w:p>
    <w:p>
      <w:pPr>
        <w:spacing w:before="6" w:after="6"/>
        <w:rPr>
          <w:rFonts w:ascii="Century Gothic" w:hAnsi="Century Gothic"/>
        </w:rPr>
      </w:pPr>
      <w:r>
        <w:rPr>
          <w:rFonts w:ascii="Century Gothic" w:hAnsi="Century Gothic"/>
        </w:rPr>
        <w:t>According to the Australian Securities &amp; Investments Commission, a property owner is considered to be under-insured if an insurance policy covers less than</w:t>
      </w:r>
      <w:smartTag w:uri="mitelunifiedcommunicatorsmarttag/smarttagmodule" w:element="MySmartTag">
        <w:r>
          <w:rPr>
            <w:rFonts w:ascii="Century Gothic" w:hAnsi="Century Gothic"/>
          </w:rPr>
          <w:t xml:space="preserve"> 90</w:t>
        </w:r>
      </w:smartTag>
      <w:r>
        <w:rPr>
          <w:rFonts w:ascii="Century Gothic" w:hAnsi="Century Gothic"/>
        </w:rPr>
        <w:t xml:space="preserve"> per cent of the costs to rebuild.</w:t>
      </w:r>
      <w:r>
        <w:rPr>
          <w:rFonts w:ascii="Century Gothic" w:hAnsi="Century Gothic"/>
        </w:rPr>
        <w:br/>
      </w:r>
    </w:p>
    <w:p>
      <w:pPr>
        <w:spacing w:before="6" w:after="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“Under-insuring a property is often unintentional because it can be very difficult to estimate all the costs involved in replacing the property and all of the assets contained,”</w:t>
      </w:r>
      <w:r>
        <w:rPr>
          <w:rFonts w:ascii="Century Gothic" w:hAnsi="Century Gothic"/>
        </w:rPr>
        <w:t xml:space="preserve"> said BMT Chief Executive Officer, </w:t>
      </w:r>
      <w:smartTag w:uri="mitelunifiedcommunicatorsmarttag/smarttagmodule" w:element="MySmartTag">
        <w:r>
          <w:rPr>
            <w:rFonts w:ascii="Century Gothic" w:hAnsi="Century Gothic"/>
          </w:rPr>
          <w:t>Brad Beer</w:t>
        </w:r>
      </w:smartTag>
      <w:r>
        <w:rPr>
          <w:rFonts w:ascii="Century Gothic" w:hAnsi="Century Gothic"/>
        </w:rPr>
        <w:t>.</w:t>
      </w:r>
      <w:r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br/>
      </w:r>
    </w:p>
    <w:p>
      <w:pPr>
        <w:spacing w:before="6" w:after="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“The app provides valuable support for property owners, because it can give a maximum and minimum estimated cost for fully replacing a home.</w:t>
      </w:r>
    </w:p>
    <w:p>
      <w:pPr>
        <w:spacing w:before="6" w:after="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/>
        <w:t xml:space="preserve">“The effects of a disaster or accident are great enough and it’s certainly not worth adding underinsurance to your list of problems,” concluded </w:t>
      </w:r>
      <w:smartTag w:uri="mitelunifiedcommunicatorsmarttag/smarttagmodule" w:element="MySmartTag">
        <w:r>
          <w:rPr>
            <w:rFonts w:ascii="Century Gothic" w:hAnsi="Century Gothic"/>
            <w:lang w:val="en-US"/>
          </w:rPr>
          <w:t>Brad Beer</w:t>
        </w:r>
      </w:smartTag>
      <w:r>
        <w:rPr>
          <w:rFonts w:ascii="Century Gothic" w:hAnsi="Century Gothic"/>
          <w:lang w:val="en-US"/>
        </w:rPr>
        <w:t>.</w:t>
      </w:r>
    </w:p>
    <w:p>
      <w:pPr>
        <w:spacing w:before="6" w:after="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/>
        <w:t>The estimations of cost provided by the app include the costs of demolition, debris removal, and construction.</w:t>
      </w:r>
    </w:p>
    <w:p>
      <w:pPr>
        <w:spacing w:before="6" w:after="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/>
        <w:t xml:space="preserve">Home owners or property investors who would like to watch a video about </w:t>
      </w:r>
      <w:proofErr w:type="spellStart"/>
      <w:r>
        <w:rPr>
          <w:rFonts w:ascii="Century Gothic" w:hAnsi="Century Gothic"/>
          <w:lang w:val="en-US"/>
        </w:rPr>
        <w:t>RepCost</w:t>
      </w:r>
      <w:proofErr w:type="spellEnd"/>
      <w:r>
        <w:rPr>
          <w:rFonts w:ascii="Century Gothic" w:hAnsi="Century Gothic"/>
          <w:lang w:val="en-US"/>
        </w:rPr>
        <w:t xml:space="preserve"> or download the app to estimate the true cost to replace their property can click do so by clicking </w:t>
      </w:r>
      <w:hyperlink r:id="rId9" w:history="1">
        <w:r>
          <w:rPr>
            <w:rStyle w:val="Hyperlink"/>
            <w:rFonts w:ascii="Century Gothic" w:hAnsi="Century Gothic"/>
            <w:lang w:val="en-US"/>
          </w:rPr>
          <w:t>here</w:t>
        </w:r>
      </w:hyperlink>
      <w:r>
        <w:rPr>
          <w:rFonts w:ascii="Century Gothic" w:hAnsi="Century Gothic"/>
          <w:lang w:val="en-US"/>
        </w:rPr>
        <w:t xml:space="preserve">. </w:t>
      </w:r>
    </w:p>
    <w:p>
      <w:pPr>
        <w:spacing w:before="6" w:after="6"/>
        <w:jc w:val="both"/>
        <w:rPr>
          <w:rFonts w:ascii="Century Gothic" w:hAnsi="Century Gothic"/>
        </w:rPr>
      </w:pPr>
    </w:p>
    <w:p>
      <w:pPr>
        <w:rPr>
          <w:rStyle w:val="Hyperlink"/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</w:rPr>
        <w:t>Media contact:</w:t>
      </w:r>
      <w:r>
        <w:rPr>
          <w:rFonts w:ascii="Century Gothic" w:hAnsi="Century Gothic"/>
        </w:rPr>
        <w:t xml:space="preserve"> Brad Beer, 0413 271 777, </w:t>
      </w:r>
      <w:hyperlink r:id="rId10" w:history="1">
        <w:r>
          <w:rPr>
            <w:rStyle w:val="Hyperlink"/>
            <w:rFonts w:ascii="Century Gothic" w:hAnsi="Century Gothic"/>
          </w:rPr>
          <w:t>brad.beer@bmtnews.com.au</w:t>
        </w:r>
      </w:hyperlink>
      <w:r>
        <w:rPr>
          <w:rFonts w:ascii="Century Gothic" w:hAnsi="Century Gothic"/>
        </w:rPr>
        <w:br/>
      </w:r>
    </w:p>
    <w:p>
      <w:pPr>
        <w:spacing w:before="0" w:after="0"/>
        <w:rPr>
          <w:rStyle w:val="Hyperlink"/>
          <w:rFonts w:ascii="Century Gothic" w:hAnsi="Century Gothic"/>
          <w:b/>
          <w:color w:val="000000" w:themeColor="text1"/>
        </w:rPr>
      </w:pPr>
      <w:r>
        <w:rPr>
          <w:rStyle w:val="Hyperlink"/>
          <w:rFonts w:ascii="Century Gothic" w:hAnsi="Century Gothic"/>
          <w:b/>
          <w:color w:val="000000" w:themeColor="text1"/>
        </w:rPr>
        <w:t>About BMT Tax Depreciation</w:t>
      </w:r>
    </w:p>
    <w:p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BMT </w:t>
      </w:r>
      <w:r>
        <w:rPr>
          <w:rFonts w:ascii="Century Gothic" w:hAnsi="Century Gothic"/>
          <w:sz w:val="20"/>
          <w:szCs w:val="20"/>
        </w:rPr>
        <w:t xml:space="preserve">Tax Depreciation (BMT) </w:t>
      </w:r>
      <w:r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is a Quantity Surveying company specialising in the provision of tax depreciation schedules for residential and commercial investment properties. Commencing business </w:t>
      </w:r>
      <w:r>
        <w:rPr>
          <w:rStyle w:val="Hyperlink"/>
          <w:rFonts w:ascii="Century Gothic" w:hAnsi="Century Gothic"/>
          <w:color w:val="000000" w:themeColor="text1"/>
          <w:sz w:val="20"/>
          <w:szCs w:val="20"/>
        </w:rPr>
        <w:lastRenderedPageBreak/>
        <w:t>in 1997</w:t>
      </w:r>
      <w:r>
        <w:rPr>
          <w:rFonts w:ascii="Century Gothic" w:hAnsi="Century Gothic"/>
          <w:sz w:val="20"/>
          <w:szCs w:val="20"/>
        </w:rPr>
        <w:t>, demand from property investors nationally has seen business expand Australia-wide with offices now located in Sydney, Parramatta, Melbourne, Brisbane, Newcastle, Adelaide, Perth, Gold Coast, Cairns, Canberra, Hobart and Darwin.</w:t>
      </w:r>
    </w:p>
    <w:p>
      <w:pPr>
        <w:spacing w:before="6" w:after="6"/>
        <w:jc w:val="both"/>
        <w:rPr>
          <w:rFonts w:ascii="Century Gothic" w:hAnsi="Century Gothic"/>
        </w:rPr>
      </w:pPr>
      <w:bookmarkStart w:id="0" w:name="_GoBack"/>
      <w:bookmarkEnd w:id="0"/>
    </w:p>
    <w:sectPr>
      <w:headerReference w:type="default" r:id="rId11"/>
      <w:footerReference w:type="default" r:id="rId12"/>
      <w:pgSz w:w="12240" w:h="15840"/>
      <w:pgMar w:top="0" w:right="1183" w:bottom="709" w:left="1134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-142"/>
      <w:jc w:val="right"/>
      <w:rPr>
        <w:noProof/>
        <w:lang w:eastAsia="en-AU"/>
      </w:rPr>
    </w:pPr>
  </w:p>
  <w:p>
    <w:pPr>
      <w:ind w:right="-142"/>
      <w:jc w:val="right"/>
      <w:rPr>
        <w:noProof/>
        <w:lang w:eastAsia="en-AU"/>
      </w:rPr>
    </w:pPr>
    <w:r>
      <w:rPr>
        <w:noProof/>
        <w:lang w:eastAsia="en-AU"/>
      </w:rPr>
      <w:drawing>
        <wp:inline distT="0" distB="0" distL="0" distR="0">
          <wp:extent cx="6293796" cy="1254868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 Letterhead 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16" b="14046"/>
                  <a:stretch/>
                </pic:blipFill>
                <pic:spPr bwMode="auto">
                  <a:xfrm>
                    <a:off x="0" y="0"/>
                    <a:ext cx="6301105" cy="125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-50166</wp:posOffset>
              </wp:positionV>
              <wp:extent cx="6412865" cy="0"/>
              <wp:effectExtent l="0" t="19050" r="698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1286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8pt,-3.95pt" to="499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" strokecolor="#1f497d [3215]" strokeweight="2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320"/>
        <w:tab w:val="clear" w:pos="8640"/>
      </w:tabs>
      <w:jc w:val="center"/>
    </w:pPr>
    <w:r>
      <w:rPr>
        <w:noProof/>
        <w:lang w:eastAsia="en-AU"/>
      </w:rPr>
      <w:drawing>
        <wp:inline distT="0" distB="0" distL="0" distR="0">
          <wp:extent cx="2660400" cy="723600"/>
          <wp:effectExtent l="0" t="0" r="698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MT Tax Depreciati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7" r="4910"/>
                  <a:stretch/>
                </pic:blipFill>
                <pic:spPr bwMode="auto">
                  <a:xfrm>
                    <a:off x="0" y="0"/>
                    <a:ext cx="2660400" cy="72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A1847"/>
    <w:multiLevelType w:val="hybridMultilevel"/>
    <w:tmpl w:val="61CEA2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mitelunifiedcommunicatorsmarttag/smarttagmodule" w:name="MySmartTag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/>
    </w:rPr>
  </w:style>
  <w:style w:type="character" w:styleId="Emphasis">
    <w:name w:val="Emphasis"/>
    <w:basedOn w:val="DefaultParagraphFont"/>
    <w:uiPriority w:val="20"/>
    <w:qFormat/>
    <w:locked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="Consolas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48C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</w:pPr>
    <w:rPr>
      <w:rFonts w:eastAsiaTheme="minorHAnsi"/>
    </w:rPr>
  </w:style>
  <w:style w:type="paragraph" w:customStyle="1" w:styleId="answer">
    <w:name w:val="answer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/>
    </w:rPr>
  </w:style>
  <w:style w:type="character" w:styleId="Emphasis">
    <w:name w:val="Emphasis"/>
    <w:basedOn w:val="DefaultParagraphFont"/>
    <w:uiPriority w:val="20"/>
    <w:qFormat/>
    <w:locked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="Consolas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48C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</w:pPr>
    <w:rPr>
      <w:rFonts w:eastAsiaTheme="minorHAnsi"/>
    </w:rPr>
  </w:style>
  <w:style w:type="paragraph" w:customStyle="1" w:styleId="answer">
    <w:name w:val="answer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rad.beer@bmtnews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mtqs.com.au/rep-cost-app-support?utm_source=zmm-group&amp;utm_medium=media-release&amp;utm_term=rep-cost-app-support&amp;utm_content=BMT-replacement-cost-app-helps-property-owners-to-ensure-theyre-covered&amp;utm_campaign=zmm-grou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5157-E4F0-41AC-B2DE-03D440D1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Suraj Radhakrishnan</cp:lastModifiedBy>
  <cp:revision>5</cp:revision>
  <cp:lastPrinted>2014-03-13T22:19:00Z</cp:lastPrinted>
  <dcterms:created xsi:type="dcterms:W3CDTF">2015-08-24T06:32:00Z</dcterms:created>
  <dcterms:modified xsi:type="dcterms:W3CDTF">2015-09-07T08:19:00Z</dcterms:modified>
</cp:coreProperties>
</file>